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D3" w:rsidRPr="0069040A" w:rsidRDefault="00D477D3" w:rsidP="00D477D3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ru-RU"/>
        </w:rPr>
        <w:drawing>
          <wp:inline distT="0" distB="0" distL="0" distR="0" wp14:anchorId="3BA79E72" wp14:editId="28764645">
            <wp:extent cx="5140800" cy="694800"/>
            <wp:effectExtent l="0" t="0" r="3175" b="0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D3" w:rsidRPr="009164E8" w:rsidRDefault="00D477D3" w:rsidP="00D477D3">
      <w:pPr>
        <w:spacing w:after="0" w:line="240" w:lineRule="auto"/>
        <w:rPr>
          <w:rFonts w:ascii="Verdana" w:hAnsi="Verdana"/>
          <w:lang w:val="en-US"/>
        </w:rPr>
      </w:pPr>
    </w:p>
    <w:p w:rsidR="00D477D3" w:rsidRDefault="00D477D3" w:rsidP="00D477D3">
      <w:pPr>
        <w:spacing w:after="0" w:line="240" w:lineRule="auto"/>
        <w:rPr>
          <w:rFonts w:ascii="Verdana" w:hAnsi="Verdana"/>
        </w:rPr>
      </w:pPr>
    </w:p>
    <w:p w:rsidR="00D477D3" w:rsidRDefault="00D477D3" w:rsidP="00D477D3">
      <w:pPr>
        <w:spacing w:after="0" w:line="240" w:lineRule="auto"/>
        <w:rPr>
          <w:rFonts w:ascii="Verdana" w:hAnsi="Verdana"/>
        </w:rPr>
      </w:pPr>
    </w:p>
    <w:p w:rsidR="00D477D3" w:rsidRPr="0069040A" w:rsidRDefault="00D477D3" w:rsidP="00D477D3">
      <w:pPr>
        <w:spacing w:after="0" w:line="240" w:lineRule="auto"/>
        <w:rPr>
          <w:rFonts w:ascii="Verdana" w:hAnsi="Verdana"/>
        </w:rPr>
      </w:pPr>
    </w:p>
    <w:p w:rsidR="00D477D3" w:rsidRPr="002662A9" w:rsidRDefault="00D477D3" w:rsidP="00D477D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9040A">
        <w:rPr>
          <w:rFonts w:ascii="Verdana" w:hAnsi="Verdana"/>
          <w:b/>
          <w:sz w:val="24"/>
          <w:szCs w:val="24"/>
        </w:rPr>
        <w:t>ПРЕСС - РЕЛИЗ №</w:t>
      </w:r>
      <w:r w:rsidR="008C74E5">
        <w:rPr>
          <w:rFonts w:ascii="Verdana" w:hAnsi="Verdana"/>
          <w:b/>
          <w:sz w:val="24"/>
          <w:szCs w:val="24"/>
        </w:rPr>
        <w:t>14</w:t>
      </w:r>
    </w:p>
    <w:p w:rsidR="00D477D3" w:rsidRPr="0069040A" w:rsidRDefault="00D477D3" w:rsidP="00D477D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477D3" w:rsidRPr="00D477D3" w:rsidRDefault="00D477D3" w:rsidP="00D477D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napToGrid w:val="0"/>
          <w:color w:val="000000"/>
          <w:sz w:val="24"/>
          <w:szCs w:val="24"/>
        </w:rPr>
      </w:pPr>
      <w:r w:rsidRPr="00D477D3">
        <w:rPr>
          <w:rFonts w:asciiTheme="minorHAnsi" w:eastAsiaTheme="minorHAnsi" w:hAnsiTheme="minorHAnsi" w:cstheme="minorHAnsi"/>
          <w:b/>
          <w:bCs/>
          <w:snapToGrid w:val="0"/>
          <w:color w:val="000000"/>
          <w:sz w:val="24"/>
          <w:szCs w:val="24"/>
        </w:rPr>
        <w:t>О базовой ставке</w:t>
      </w:r>
    </w:p>
    <w:p w:rsidR="00D477D3" w:rsidRPr="009164E8" w:rsidRDefault="00D477D3" w:rsidP="00D477D3">
      <w:pPr>
        <w:spacing w:after="0" w:line="240" w:lineRule="auto"/>
        <w:rPr>
          <w:b/>
          <w:sz w:val="24"/>
          <w:szCs w:val="24"/>
        </w:rPr>
      </w:pPr>
    </w:p>
    <w:p w:rsidR="00D477D3" w:rsidRDefault="00D477D3" w:rsidP="00D477D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C74E5">
        <w:rPr>
          <w:rFonts w:ascii="Verdana" w:hAnsi="Verdana"/>
          <w:sz w:val="24"/>
          <w:szCs w:val="24"/>
        </w:rPr>
        <w:t>6 июня</w:t>
      </w:r>
      <w:r w:rsidRPr="00390B2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2016 г.</w:t>
      </w:r>
      <w:r w:rsidRPr="00390B2E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 xml:space="preserve">                  </w:t>
      </w:r>
      <w:r w:rsidRPr="00390B2E">
        <w:rPr>
          <w:rFonts w:ascii="Verdana" w:hAnsi="Verdana"/>
          <w:sz w:val="24"/>
          <w:szCs w:val="24"/>
        </w:rPr>
        <w:t xml:space="preserve">                        </w:t>
      </w:r>
      <w:r>
        <w:rPr>
          <w:rFonts w:ascii="Verdana" w:hAnsi="Verdana"/>
          <w:sz w:val="24"/>
          <w:szCs w:val="24"/>
        </w:rPr>
        <w:t xml:space="preserve">                   </w:t>
      </w:r>
      <w:r w:rsidRPr="00803C68">
        <w:rPr>
          <w:rFonts w:ascii="Verdana" w:hAnsi="Verdana"/>
          <w:sz w:val="24"/>
          <w:szCs w:val="24"/>
        </w:rPr>
        <w:t xml:space="preserve">           </w:t>
      </w:r>
      <w:r w:rsidR="008C74E5">
        <w:rPr>
          <w:rFonts w:ascii="Verdana" w:hAnsi="Verdana"/>
          <w:sz w:val="24"/>
          <w:szCs w:val="24"/>
        </w:rPr>
        <w:t xml:space="preserve">    </w:t>
      </w:r>
      <w:r w:rsidRPr="00803C6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r w:rsidRPr="00390B2E">
        <w:rPr>
          <w:rFonts w:ascii="Verdana" w:hAnsi="Verdana"/>
          <w:sz w:val="24"/>
          <w:szCs w:val="24"/>
        </w:rPr>
        <w:t>г. Алматы</w:t>
      </w:r>
    </w:p>
    <w:p w:rsidR="00D477D3" w:rsidRPr="00390B2E" w:rsidRDefault="00D477D3" w:rsidP="00D477D3">
      <w:pPr>
        <w:spacing w:after="0" w:line="240" w:lineRule="auto"/>
        <w:rPr>
          <w:rFonts w:ascii="Verdana" w:hAnsi="Verdana"/>
          <w:sz w:val="24"/>
          <w:szCs w:val="24"/>
        </w:rPr>
      </w:pPr>
    </w:p>
    <w:p w:rsidR="00D477D3" w:rsidRPr="002662A9" w:rsidRDefault="00D477D3" w:rsidP="00D477D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8C74E5" w:rsidRPr="008C74E5" w:rsidRDefault="008C74E5" w:rsidP="008C74E5">
      <w:pPr>
        <w:spacing w:after="0" w:line="36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Национальный Банк Республики Казахстан принял решение о сохранении базовой ставки на уровне 15% с коридором +/-1%. Придерживаясь взвешенной процентной политики, Национальный Банк учитывал риски сохранения финансовой стабильности, которые отражают необходимость поддержания спроса на </w:t>
      </w:r>
      <w:proofErr w:type="spellStart"/>
      <w:r w:rsidRPr="008C74E5">
        <w:rPr>
          <w:rFonts w:asciiTheme="minorHAnsi" w:eastAsiaTheme="minorHAnsi" w:hAnsiTheme="minorHAnsi" w:cstheme="minorBidi"/>
          <w:sz w:val="24"/>
          <w:szCs w:val="24"/>
        </w:rPr>
        <w:t>тенговые</w:t>
      </w:r>
      <w:proofErr w:type="spellEnd"/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 активы в условиях возможного </w:t>
      </w:r>
      <w:proofErr w:type="spellStart"/>
      <w:r w:rsidRPr="008C74E5">
        <w:rPr>
          <w:rFonts w:asciiTheme="minorHAnsi" w:eastAsiaTheme="minorHAnsi" w:hAnsiTheme="minorHAnsi" w:cstheme="minorBidi"/>
          <w:sz w:val="24"/>
          <w:szCs w:val="24"/>
        </w:rPr>
        <w:t>перетока</w:t>
      </w:r>
      <w:proofErr w:type="spellEnd"/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 средств с де</w:t>
      </w:r>
      <w:r>
        <w:rPr>
          <w:rFonts w:asciiTheme="minorHAnsi" w:eastAsiaTheme="minorHAnsi" w:hAnsiTheme="minorHAnsi" w:cstheme="minorBidi"/>
          <w:sz w:val="24"/>
          <w:szCs w:val="24"/>
        </w:rPr>
        <w:t>нежного рынка на валютный рынок</w:t>
      </w:r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 и обеспечения стабильности цен в среднесрочной перспективе. </w:t>
      </w:r>
      <w:proofErr w:type="gramEnd"/>
    </w:p>
    <w:p w:rsidR="008C74E5" w:rsidRPr="008C74E5" w:rsidRDefault="008C74E5" w:rsidP="008C74E5">
      <w:pPr>
        <w:spacing w:after="0" w:line="36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C74E5">
        <w:rPr>
          <w:rFonts w:asciiTheme="minorHAnsi" w:eastAsiaTheme="minorHAnsi" w:hAnsiTheme="minorHAnsi" w:cstheme="minorBidi"/>
          <w:sz w:val="24"/>
          <w:szCs w:val="24"/>
        </w:rPr>
        <w:t>При принятии данного решения рассматривалось несколько факторов.</w:t>
      </w:r>
    </w:p>
    <w:p w:rsidR="008C74E5" w:rsidRPr="008C74E5" w:rsidRDefault="008C74E5" w:rsidP="008C74E5">
      <w:pPr>
        <w:spacing w:after="0" w:line="360" w:lineRule="auto"/>
        <w:ind w:firstLine="706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Стабильно сохраняется превышение объемов продаж населением иностранной валюты над ее покупкой. Продолжается </w:t>
      </w:r>
      <w:proofErr w:type="spellStart"/>
      <w:r w:rsidRPr="008C74E5">
        <w:rPr>
          <w:rFonts w:asciiTheme="minorHAnsi" w:eastAsiaTheme="minorHAnsi" w:hAnsiTheme="minorHAnsi" w:cstheme="minorBidi"/>
          <w:sz w:val="24"/>
          <w:szCs w:val="24"/>
        </w:rPr>
        <w:t>переток</w:t>
      </w:r>
      <w:proofErr w:type="spellEnd"/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 депозитов, номинированных в иностранной валюте, в </w:t>
      </w:r>
      <w:proofErr w:type="spellStart"/>
      <w:r w:rsidRPr="008C74E5">
        <w:rPr>
          <w:rFonts w:asciiTheme="minorHAnsi" w:eastAsiaTheme="minorHAnsi" w:hAnsiTheme="minorHAnsi" w:cstheme="minorBidi"/>
          <w:sz w:val="24"/>
          <w:szCs w:val="24"/>
        </w:rPr>
        <w:t>тенговые</w:t>
      </w:r>
      <w:proofErr w:type="spellEnd"/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 депозиты. Доля депозитов физических лиц в иностранной валюте в общем объеме депозитов физических лиц снизилась в апреле 2016 года до 72%, юридических лиц – до 53%. В апреле 2016 года впервые с октября 2015 года зафиксирован рост кредитов в национальной валюте. </w:t>
      </w:r>
    </w:p>
    <w:p w:rsidR="008C74E5" w:rsidRPr="008C74E5" w:rsidRDefault="008C74E5" w:rsidP="008C74E5">
      <w:pPr>
        <w:spacing w:after="0" w:line="36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Инфляция складывается в </w:t>
      </w:r>
      <w:proofErr w:type="gramStart"/>
      <w:r w:rsidRPr="008C74E5">
        <w:rPr>
          <w:rFonts w:asciiTheme="minorHAnsi" w:eastAsiaTheme="minorHAnsi" w:hAnsiTheme="minorHAnsi" w:cstheme="minorBidi"/>
          <w:sz w:val="24"/>
          <w:szCs w:val="24"/>
        </w:rPr>
        <w:t>рамках</w:t>
      </w:r>
      <w:proofErr w:type="gramEnd"/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 ожидаемого тренда. Результаты опроса Национального Банка показывают, что в </w:t>
      </w:r>
      <w:proofErr w:type="gramStart"/>
      <w:r w:rsidRPr="008C74E5">
        <w:rPr>
          <w:rFonts w:asciiTheme="minorHAnsi" w:eastAsiaTheme="minorHAnsi" w:hAnsiTheme="minorHAnsi" w:cstheme="minorBidi"/>
          <w:sz w:val="24"/>
          <w:szCs w:val="24"/>
        </w:rPr>
        <w:t>мае</w:t>
      </w:r>
      <w:proofErr w:type="gramEnd"/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 2016 года инфляционные ожидания населения практически не изменились. Доля участников, ожидающих ускорения темпа роста цен или его сохранения на существующем уровне в следующие 12 месяцев, составила 37,7% (в апреле 2016 года – 37,1%).</w:t>
      </w:r>
    </w:p>
    <w:p w:rsidR="008C74E5" w:rsidRPr="008C74E5" w:rsidRDefault="008C74E5" w:rsidP="008C74E5">
      <w:pPr>
        <w:spacing w:after="0" w:line="36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Уровень экономической активности и показатели внутреннего спроса продолжают снижаться, оказывая негативное влияние на темпы экономического роста. В январе-апреле 2016 года снизился краткосрочный экономический индикатор, базирующийся на изменении индексов выпуска по базовым отраслям и характеризующий тенденции развития экономики. Вместе с тем, высокий уровень инвестиционного спроса на фоне роста расходов государственного сектора нивелирует негативное влияние ухудшения условий торговли. </w:t>
      </w:r>
    </w:p>
    <w:p w:rsidR="008C74E5" w:rsidRPr="008C74E5" w:rsidRDefault="008C74E5" w:rsidP="008C74E5">
      <w:pPr>
        <w:spacing w:after="0" w:line="360" w:lineRule="auto"/>
        <w:ind w:firstLine="706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После снижения базовой ставки до 15% и сужения процентного коридора 6 мая 2016 года отмечается некоторое смягчение денежно-кредитных условий. Ставки на денежном рынке находятся на нижней границе коридора базовой ставки. Наблюдается увеличение </w:t>
      </w:r>
      <w:proofErr w:type="gramStart"/>
      <w:r w:rsidRPr="008C74E5">
        <w:rPr>
          <w:rFonts w:asciiTheme="minorHAnsi" w:eastAsiaTheme="minorHAnsi" w:hAnsiTheme="minorHAnsi" w:cstheme="minorBidi"/>
          <w:sz w:val="24"/>
          <w:szCs w:val="24"/>
        </w:rPr>
        <w:t>структурного</w:t>
      </w:r>
      <w:proofErr w:type="gramEnd"/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C74E5"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профицита ликвидности, которое происходит за счет продолжающейся конвертации валютных депозитов в </w:t>
      </w:r>
      <w:proofErr w:type="spellStart"/>
      <w:r w:rsidRPr="008C74E5">
        <w:rPr>
          <w:rFonts w:asciiTheme="minorHAnsi" w:eastAsiaTheme="minorHAnsi" w:hAnsiTheme="minorHAnsi" w:cstheme="minorBidi"/>
          <w:sz w:val="24"/>
          <w:szCs w:val="24"/>
        </w:rPr>
        <w:t>тенговые</w:t>
      </w:r>
      <w:proofErr w:type="spellEnd"/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, а также за счет фискальных факторов. </w:t>
      </w:r>
    </w:p>
    <w:p w:rsidR="008C74E5" w:rsidRPr="008C74E5" w:rsidRDefault="008C74E5" w:rsidP="008C74E5">
      <w:pPr>
        <w:spacing w:after="0" w:line="360" w:lineRule="auto"/>
        <w:ind w:firstLine="706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C74E5">
        <w:rPr>
          <w:rFonts w:asciiTheme="minorHAnsi" w:eastAsiaTheme="minorHAnsi" w:hAnsiTheme="minorHAnsi" w:cstheme="minorBidi"/>
          <w:sz w:val="24"/>
          <w:szCs w:val="24"/>
        </w:rPr>
        <w:t>Сохраняются внешние и внутренние риски, которые могут повлиять на состояние валютного и денежного рынков, а также на формирование инфляционных ожиданий. После снижения базовой ставки стоимость хеджирования валютных рисков практически не выросла и остается ниже ставок денежного рынка.</w:t>
      </w:r>
    </w:p>
    <w:p w:rsidR="008C74E5" w:rsidRPr="008C74E5" w:rsidRDefault="008C74E5" w:rsidP="008C74E5">
      <w:pPr>
        <w:spacing w:after="0" w:line="360" w:lineRule="auto"/>
        <w:ind w:firstLine="706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C74E5">
        <w:rPr>
          <w:rFonts w:asciiTheme="minorHAnsi" w:eastAsiaTheme="minorHAnsi" w:hAnsiTheme="minorHAnsi" w:cstheme="minorBidi"/>
          <w:sz w:val="24"/>
          <w:szCs w:val="24"/>
        </w:rPr>
        <w:t>По мере снижения рисков и подтверждения устойчивости наметившихся положительных трендов не исключается снижение базовой ставки.</w:t>
      </w:r>
      <w:r w:rsidRPr="008C74E5">
        <w:rPr>
          <w:rFonts w:asciiTheme="minorHAnsi" w:eastAsiaTheme="minorHAnsi" w:hAnsiTheme="minorHAnsi" w:cstheme="minorBidi"/>
        </w:rPr>
        <w:t xml:space="preserve"> </w:t>
      </w:r>
      <w:r w:rsidRPr="008C74E5">
        <w:rPr>
          <w:rFonts w:asciiTheme="minorHAnsi" w:eastAsiaTheme="minorHAnsi" w:hAnsiTheme="minorHAnsi" w:cstheme="minorBidi"/>
          <w:sz w:val="24"/>
          <w:szCs w:val="24"/>
        </w:rPr>
        <w:t>Скорость снижения ставок будет зависеть от реакции экономики на внешние шоки и от полученной обратной связи от проводимой денежно-кредитной политики</w:t>
      </w:r>
      <w:r w:rsidR="00F14522">
        <w:rPr>
          <w:rFonts w:asciiTheme="minorHAnsi" w:eastAsiaTheme="minorHAnsi" w:hAnsiTheme="minorHAnsi" w:cstheme="minorBidi"/>
          <w:sz w:val="24"/>
          <w:szCs w:val="24"/>
        </w:rPr>
        <w:t xml:space="preserve">, включая, </w:t>
      </w:r>
      <w:proofErr w:type="gramStart"/>
      <w:r w:rsidR="00F14522">
        <w:rPr>
          <w:rFonts w:asciiTheme="minorHAnsi" w:eastAsiaTheme="minorHAnsi" w:hAnsiTheme="minorHAnsi" w:cstheme="minorBidi"/>
          <w:sz w:val="24"/>
          <w:szCs w:val="24"/>
        </w:rPr>
        <w:t>но</w:t>
      </w:r>
      <w:proofErr w:type="gramEnd"/>
      <w:r w:rsidR="00F14522">
        <w:rPr>
          <w:rFonts w:asciiTheme="minorHAnsi" w:eastAsiaTheme="minorHAnsi" w:hAnsiTheme="minorHAnsi" w:cstheme="minorBidi"/>
          <w:sz w:val="24"/>
          <w:szCs w:val="24"/>
        </w:rPr>
        <w:t xml:space="preserve"> не ограничиваясь</w:t>
      </w:r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 прогнозируемой инфляцией на горизонте от года и более, стоимостью хеджирования валютных рисков, валютными предпочтениями банковских вкладчиков.</w:t>
      </w:r>
    </w:p>
    <w:p w:rsidR="008C74E5" w:rsidRPr="008C74E5" w:rsidRDefault="008C74E5" w:rsidP="008C74E5">
      <w:pPr>
        <w:spacing w:after="0" w:line="360" w:lineRule="auto"/>
        <w:ind w:firstLine="706"/>
        <w:jc w:val="both"/>
        <w:rPr>
          <w:rFonts w:ascii="Verdana" w:hAnsi="Verdana"/>
        </w:rPr>
      </w:pPr>
      <w:r w:rsidRPr="008C74E5">
        <w:rPr>
          <w:rFonts w:asciiTheme="minorHAnsi" w:eastAsiaTheme="minorHAnsi" w:hAnsiTheme="minorHAnsi" w:cstheme="minorBidi"/>
          <w:sz w:val="24"/>
          <w:szCs w:val="24"/>
        </w:rPr>
        <w:t xml:space="preserve">Следующее решение по базовой ставке будет объявлено 11 июля 2016 года в 17.00 по времени Астаны. </w:t>
      </w:r>
    </w:p>
    <w:p w:rsidR="008C74E5" w:rsidRP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P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P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P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P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P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P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P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Default="008C74E5" w:rsidP="008C74E5">
      <w:pPr>
        <w:spacing w:after="0" w:line="240" w:lineRule="auto"/>
        <w:rPr>
          <w:rFonts w:ascii="Verdana" w:hAnsi="Verdana"/>
        </w:rPr>
      </w:pPr>
    </w:p>
    <w:p w:rsidR="008C74E5" w:rsidRDefault="008C74E5" w:rsidP="008C74E5">
      <w:pPr>
        <w:spacing w:after="0" w:line="240" w:lineRule="auto"/>
        <w:rPr>
          <w:rFonts w:ascii="Verdana" w:hAnsi="Verdana"/>
        </w:rPr>
      </w:pPr>
    </w:p>
    <w:p w:rsidR="00E672D9" w:rsidRPr="008C74E5" w:rsidRDefault="00E672D9" w:rsidP="008C74E5">
      <w:pPr>
        <w:spacing w:after="0" w:line="240" w:lineRule="auto"/>
        <w:rPr>
          <w:rFonts w:ascii="Verdana" w:hAnsi="Verdana"/>
        </w:rPr>
      </w:pPr>
    </w:p>
    <w:p w:rsidR="008C74E5" w:rsidRPr="008C74E5" w:rsidRDefault="008C74E5" w:rsidP="008C74E5">
      <w:pPr>
        <w:spacing w:after="0" w:line="240" w:lineRule="auto"/>
        <w:rPr>
          <w:rFonts w:ascii="Verdana" w:hAnsi="Verdana"/>
        </w:rPr>
      </w:pPr>
    </w:p>
    <w:p w:rsidR="00D477D3" w:rsidRPr="006B1D00" w:rsidRDefault="00D477D3" w:rsidP="00D477D3">
      <w:pPr>
        <w:spacing w:after="0" w:line="240" w:lineRule="auto"/>
        <w:rPr>
          <w:rFonts w:ascii="Verdana" w:hAnsi="Verdana"/>
        </w:rPr>
      </w:pPr>
    </w:p>
    <w:p w:rsidR="00D477D3" w:rsidRDefault="00D477D3" w:rsidP="00D477D3">
      <w:pPr>
        <w:spacing w:after="0" w:line="240" w:lineRule="auto"/>
        <w:rPr>
          <w:rFonts w:ascii="Verdana" w:hAnsi="Verdana"/>
        </w:rPr>
      </w:pPr>
    </w:p>
    <w:p w:rsidR="00D477D3" w:rsidRPr="0069040A" w:rsidRDefault="00D477D3" w:rsidP="00D477D3">
      <w:pPr>
        <w:pStyle w:val="1"/>
        <w:jc w:val="center"/>
      </w:pPr>
      <w:r>
        <w:t xml:space="preserve"> </w:t>
      </w:r>
      <w:r w:rsidRPr="0069040A">
        <w:t>Более подробную информацию можно получить по телефонам:</w:t>
      </w:r>
    </w:p>
    <w:p w:rsidR="00E672D9" w:rsidRPr="00E672D9" w:rsidRDefault="00E672D9" w:rsidP="00E672D9">
      <w:pPr>
        <w:spacing w:after="0" w:line="240" w:lineRule="auto"/>
        <w:jc w:val="center"/>
        <w:rPr>
          <w:rFonts w:asciiTheme="minorHAnsi" w:eastAsiaTheme="minorHAnsi" w:hAnsiTheme="minorHAnsi" w:cs="Arial"/>
          <w:lang w:val="en-US"/>
        </w:rPr>
      </w:pPr>
      <w:r w:rsidRPr="00E672D9">
        <w:rPr>
          <w:rFonts w:asciiTheme="minorHAnsi" w:eastAsiaTheme="minorHAnsi" w:hAnsiTheme="minorHAnsi" w:cs="Arial"/>
          <w:lang w:val="en-US"/>
        </w:rPr>
        <w:t>+7 (727) 2704 585</w:t>
      </w:r>
    </w:p>
    <w:p w:rsidR="00E672D9" w:rsidRPr="00E672D9" w:rsidRDefault="00E672D9" w:rsidP="00E672D9">
      <w:pPr>
        <w:spacing w:after="0" w:line="240" w:lineRule="auto"/>
        <w:jc w:val="center"/>
        <w:rPr>
          <w:rFonts w:asciiTheme="minorHAnsi" w:eastAsiaTheme="minorHAnsi" w:hAnsiTheme="minorHAnsi" w:cs="Arial"/>
          <w:lang w:val="en-US"/>
        </w:rPr>
      </w:pPr>
      <w:r w:rsidRPr="00E672D9">
        <w:rPr>
          <w:rFonts w:asciiTheme="minorHAnsi" w:eastAsiaTheme="minorHAnsi" w:hAnsiTheme="minorHAnsi" w:cs="Arial"/>
          <w:lang w:val="en-US"/>
        </w:rPr>
        <w:t>+7 (727) 3302 497</w:t>
      </w:r>
    </w:p>
    <w:p w:rsidR="00D477D3" w:rsidRPr="0069040A" w:rsidRDefault="00D477D3" w:rsidP="00D477D3">
      <w:pPr>
        <w:pStyle w:val="1"/>
        <w:jc w:val="center"/>
        <w:rPr>
          <w:lang w:val="en-US"/>
        </w:rPr>
      </w:pPr>
      <w:proofErr w:type="gramStart"/>
      <w:r w:rsidRPr="0069040A">
        <w:rPr>
          <w:lang w:val="en-US"/>
        </w:rPr>
        <w:t>e-mail</w:t>
      </w:r>
      <w:proofErr w:type="gramEnd"/>
      <w:r w:rsidRPr="0069040A">
        <w:rPr>
          <w:lang w:val="en-US"/>
        </w:rPr>
        <w:t>: press@nationalbank.kz</w:t>
      </w:r>
    </w:p>
    <w:p w:rsidR="00D477D3" w:rsidRPr="00F41B0E" w:rsidRDefault="00D477D3" w:rsidP="00D477D3">
      <w:pPr>
        <w:pStyle w:val="1"/>
        <w:jc w:val="center"/>
        <w:rPr>
          <w:lang w:val="en-US"/>
        </w:rPr>
      </w:pPr>
      <w:r w:rsidRPr="0069040A">
        <w:rPr>
          <w:lang w:val="en-US"/>
        </w:rPr>
        <w:t>www.nationalbank.kz</w:t>
      </w:r>
    </w:p>
    <w:p w:rsidR="0012622E" w:rsidRPr="008C74E5" w:rsidRDefault="0012622E">
      <w:pPr>
        <w:rPr>
          <w:lang w:val="en-US"/>
        </w:rPr>
      </w:pPr>
    </w:p>
    <w:sectPr w:rsidR="0012622E" w:rsidRPr="008C74E5" w:rsidSect="00916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E4" w:rsidRDefault="006235E4" w:rsidP="00802028">
      <w:pPr>
        <w:spacing w:after="0" w:line="240" w:lineRule="auto"/>
      </w:pPr>
      <w:r>
        <w:separator/>
      </w:r>
    </w:p>
  </w:endnote>
  <w:endnote w:type="continuationSeparator" w:id="0">
    <w:p w:rsidR="006235E4" w:rsidRDefault="006235E4" w:rsidP="0080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E4" w:rsidRDefault="006235E4" w:rsidP="00802028">
      <w:pPr>
        <w:spacing w:after="0" w:line="240" w:lineRule="auto"/>
      </w:pPr>
      <w:r>
        <w:separator/>
      </w:r>
    </w:p>
  </w:footnote>
  <w:footnote w:type="continuationSeparator" w:id="0">
    <w:p w:rsidR="006235E4" w:rsidRDefault="006235E4" w:rsidP="0080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3"/>
    <w:rsid w:val="0012622E"/>
    <w:rsid w:val="006235E4"/>
    <w:rsid w:val="00802028"/>
    <w:rsid w:val="008C74E5"/>
    <w:rsid w:val="00C2219E"/>
    <w:rsid w:val="00D477D3"/>
    <w:rsid w:val="00E672D9"/>
    <w:rsid w:val="00F0122B"/>
    <w:rsid w:val="00F1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77D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7D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02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0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02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77D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7D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02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0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0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Yntykbaeva</dc:creator>
  <cp:lastModifiedBy>Saule Yntykbaeva</cp:lastModifiedBy>
  <cp:revision>8</cp:revision>
  <cp:lastPrinted>2016-03-14T10:52:00Z</cp:lastPrinted>
  <dcterms:created xsi:type="dcterms:W3CDTF">2016-03-14T10:48:00Z</dcterms:created>
  <dcterms:modified xsi:type="dcterms:W3CDTF">2016-06-06T10:55:00Z</dcterms:modified>
</cp:coreProperties>
</file>